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FC8A" w14:textId="1867F23F" w:rsidR="004C0C58" w:rsidRPr="00272A71" w:rsidRDefault="004C0C58" w:rsidP="004C0C58">
      <w:pPr>
        <w:spacing w:line="360" w:lineRule="auto"/>
        <w:jc w:val="center"/>
        <w:rPr>
          <w:b/>
          <w:bCs/>
        </w:rPr>
      </w:pPr>
      <w:r w:rsidRPr="00272A71">
        <w:rPr>
          <w:b/>
          <w:bCs/>
          <w:lang w:val="en-US"/>
        </w:rPr>
        <w:t>International Court of Justice (ICJ)</w:t>
      </w:r>
    </w:p>
    <w:p w14:paraId="1186F00C" w14:textId="3A8C0875" w:rsidR="004C0C58" w:rsidRPr="00272A71" w:rsidRDefault="004C0C58" w:rsidP="004C0C58">
      <w:pPr>
        <w:spacing w:line="360" w:lineRule="auto"/>
        <w:jc w:val="center"/>
      </w:pPr>
      <w:r w:rsidRPr="00272A71">
        <w:rPr>
          <w:b/>
          <w:bCs/>
        </w:rPr>
        <w:t>Case</w:t>
      </w:r>
      <w:r w:rsidRPr="00272A71">
        <w:rPr>
          <w:b/>
          <w:bCs/>
        </w:rPr>
        <w:t xml:space="preserve"> 1: </w:t>
      </w:r>
      <w:r w:rsidRPr="00272A71">
        <w:rPr>
          <w:b/>
          <w:bCs/>
        </w:rPr>
        <w:t>La</w:t>
      </w:r>
      <w:r w:rsidRPr="00272A71">
        <w:rPr>
          <w:b/>
          <w:bCs/>
        </w:rPr>
        <w:t xml:space="preserve">Grand (Germany v U.S) violating the </w:t>
      </w:r>
      <w:r w:rsidRPr="00272A71">
        <w:rPr>
          <w:b/>
          <w:bCs/>
        </w:rPr>
        <w:t>V</w:t>
      </w:r>
      <w:r w:rsidRPr="00272A71">
        <w:rPr>
          <w:b/>
          <w:bCs/>
        </w:rPr>
        <w:t>ienna Convention</w:t>
      </w:r>
    </w:p>
    <w:p w14:paraId="06D548C8" w14:textId="77777777" w:rsidR="004C0C58" w:rsidRPr="00272A71" w:rsidRDefault="004C0C58" w:rsidP="004C0C58">
      <w:pPr>
        <w:pStyle w:val="Heading4"/>
        <w:rPr>
          <w:rFonts w:ascii="Times New Roman" w:hAnsi="Times New Roman" w:cs="Times New Roman"/>
          <w:i w:val="0"/>
          <w:iCs w:val="0"/>
          <w:lang w:val="en-US"/>
        </w:rPr>
      </w:pPr>
    </w:p>
    <w:p w14:paraId="5C1C697D" w14:textId="77777777" w:rsidR="004C0C58" w:rsidRPr="00272A71" w:rsidRDefault="004C0C58" w:rsidP="004C0C58">
      <w:pPr>
        <w:pStyle w:val="Heading4"/>
        <w:rPr>
          <w:rFonts w:ascii="Times New Roman" w:hAnsi="Times New Roman" w:cs="Times New Roman"/>
          <w:i w:val="0"/>
          <w:iCs w:val="0"/>
          <w:lang w:val="en-US"/>
        </w:rPr>
      </w:pPr>
    </w:p>
    <w:p w14:paraId="48CBB78F" w14:textId="77777777" w:rsidR="004C0C58" w:rsidRPr="00272A71" w:rsidRDefault="004C0C58" w:rsidP="004C0C58">
      <w:pPr>
        <w:pStyle w:val="Heading4"/>
        <w:rPr>
          <w:rFonts w:ascii="Times New Roman" w:hAnsi="Times New Roman" w:cs="Times New Roman"/>
          <w:i w:val="0"/>
          <w:iCs w:val="0"/>
          <w:lang w:val="en-US"/>
        </w:rPr>
      </w:pPr>
    </w:p>
    <w:p w14:paraId="1D23B663" w14:textId="4379B8E5" w:rsidR="00044EC1" w:rsidRPr="00272A71" w:rsidRDefault="004C0C58" w:rsidP="00FC4B4B">
      <w:pPr>
        <w:pStyle w:val="Heading4"/>
        <w:rPr>
          <w:rFonts w:ascii="Times New Roman" w:eastAsia="Times New Roman" w:hAnsi="Times New Roman" w:cs="Times New Roman"/>
          <w:b/>
          <w:bCs/>
          <w:i w:val="0"/>
          <w:iCs w:val="0"/>
          <w:color w:val="auto"/>
          <w:kern w:val="0"/>
          <w14:ligatures w14:val="none"/>
        </w:rPr>
      </w:pPr>
      <w:r w:rsidRPr="00272A71">
        <w:rPr>
          <w:rFonts w:ascii="Times New Roman" w:eastAsia="Times New Roman" w:hAnsi="Times New Roman" w:cs="Times New Roman"/>
          <w:b/>
          <w:bCs/>
          <w:i w:val="0"/>
          <w:iCs w:val="0"/>
          <w:color w:val="auto"/>
          <w:kern w:val="0"/>
          <w14:ligatures w14:val="none"/>
        </w:rPr>
        <w:t>Introduction</w:t>
      </w:r>
    </w:p>
    <w:p w14:paraId="26DE6A9E" w14:textId="28BF06EF" w:rsidR="00044EC1" w:rsidRPr="00272A71" w:rsidRDefault="00044EC1" w:rsidP="00FC4B4B">
      <w:pPr>
        <w:pStyle w:val="NormalWeb"/>
      </w:pPr>
      <w:r w:rsidRPr="00272A71">
        <w:t xml:space="preserve">The International Court of Justice (ICJ) case Germany v. United States concerns serious violations of international law in relation to the Vienna Convention on Consular Relations and represents a pivotal moment in the realm of international law. Germany took significant legal action against the United States, claiming that the country violated the consular rights of two German nationals, Karl and Walter LaGrand, who were convicted and executed in the United States without being informed of their right to consular assistance. The LaGrand brothers, </w:t>
      </w:r>
      <w:r w:rsidR="00FC4B4B" w:rsidRPr="00272A71">
        <w:t>ere arrested for a bank robbery in Arizona, which resulted in a fatality.</w:t>
      </w:r>
      <w:r w:rsidR="00FC4B4B" w:rsidRPr="00272A71">
        <w:t xml:space="preserve"> The United States failed to </w:t>
      </w:r>
      <w:r w:rsidRPr="00272A71">
        <w:t xml:space="preserve"> notif</w:t>
      </w:r>
      <w:r w:rsidR="00FC4B4B" w:rsidRPr="00272A71">
        <w:t>y</w:t>
      </w:r>
      <w:r w:rsidRPr="00272A71">
        <w:t xml:space="preserve"> </w:t>
      </w:r>
      <w:r w:rsidR="00FC4B4B" w:rsidRPr="00272A71">
        <w:t xml:space="preserve">them </w:t>
      </w:r>
      <w:r w:rsidRPr="00272A71">
        <w:t>of their right to contact the German consulate,</w:t>
      </w:r>
      <w:r w:rsidR="00FC4B4B" w:rsidRPr="00272A71">
        <w:t xml:space="preserve"> </w:t>
      </w:r>
      <w:r w:rsidRPr="00272A71">
        <w:t>a right guaranteed under Article 36 of the Vienna Convention, to which the United States has been a party since 1969.</w:t>
      </w:r>
      <w:r w:rsidR="00FC4B4B" w:rsidRPr="00272A71">
        <w:t xml:space="preserve"> </w:t>
      </w:r>
      <w:r w:rsidRPr="00044EC1">
        <w:t xml:space="preserve">The ICJ's judgment in this case has significant implications for the protection of consular rights and the enforcement of international legal obligations. </w:t>
      </w:r>
    </w:p>
    <w:p w14:paraId="00A25958" w14:textId="77777777" w:rsidR="00044EC1" w:rsidRPr="00272A71" w:rsidRDefault="00044EC1" w:rsidP="00044EC1">
      <w:pPr>
        <w:pStyle w:val="NormalWeb"/>
      </w:pPr>
      <w:r w:rsidRPr="00272A71">
        <w:t>The decision by Germany to bring this case before the ICJ highlights the importance of consular rights in international law and the role of legal institutions in ensuring states adhere to their treaty obligations. This legal action is significant because it underscores the responsibility of states to protect the rights of foreign nationals, ensures that consular rights are enforceable, and sets an important precedent for international human rights law and the enforcement of the Vienna Convention, with the international community closely observing the case.</w:t>
      </w:r>
    </w:p>
    <w:p w14:paraId="2F9659DF" w14:textId="77777777" w:rsidR="00044EC1" w:rsidRPr="00272A71" w:rsidRDefault="00044EC1" w:rsidP="00044EC1"/>
    <w:p w14:paraId="34EF263A" w14:textId="77777777" w:rsidR="00044EC1" w:rsidRPr="00044EC1" w:rsidRDefault="00044EC1" w:rsidP="00044EC1"/>
    <w:p w14:paraId="123D48BC" w14:textId="7E1A5384" w:rsidR="00876F37" w:rsidRPr="00272A71" w:rsidRDefault="00876F37" w:rsidP="00876F37">
      <w:pPr>
        <w:pStyle w:val="NormalWeb"/>
      </w:pPr>
      <w:r w:rsidRPr="00272A71">
        <w:rPr>
          <w:rStyle w:val="Strong"/>
          <w:rFonts w:eastAsiaTheme="majorEastAsia"/>
        </w:rPr>
        <w:t>General Overview</w:t>
      </w:r>
      <w:r w:rsidR="00CB1E82" w:rsidRPr="00272A71">
        <w:rPr>
          <w:rStyle w:val="Strong"/>
          <w:rFonts w:eastAsiaTheme="majorEastAsia"/>
        </w:rPr>
        <w:t>:</w:t>
      </w:r>
    </w:p>
    <w:p w14:paraId="0F0125BD" w14:textId="77777777" w:rsidR="00CB1E82" w:rsidRPr="00272A71" w:rsidRDefault="00CB1E82" w:rsidP="00CB1E82">
      <w:pPr>
        <w:pStyle w:val="NormalWeb"/>
      </w:pPr>
      <w:r w:rsidRPr="00272A71">
        <w:t xml:space="preserve">The </w:t>
      </w:r>
      <w:r w:rsidRPr="00272A71">
        <w:rPr>
          <w:rStyle w:val="Emphasis"/>
          <w:rFonts w:eastAsiaTheme="majorEastAsia"/>
          <w:i w:val="0"/>
          <w:iCs w:val="0"/>
        </w:rPr>
        <w:t>LaGrand</w:t>
      </w:r>
      <w:r w:rsidRPr="00272A71">
        <w:t xml:space="preserve"> case is a landmark international legal dispute in which Germany alleged that the United States violated the consular rights of two German nationals, Karl and Walter LaGrand, under the Vienna Convention on Consular Relations. The core issue at the heart of this case is whether the United States breached its obligations under international law by failing to inform the LaGrand brothers of their right to consular assistance, which is protected under Article 36 of the Vienna Convention.</w:t>
      </w:r>
    </w:p>
    <w:p w14:paraId="3A118A3E" w14:textId="5302EE68" w:rsidR="00CB1E82" w:rsidRPr="00272A71" w:rsidRDefault="00CB1E82" w:rsidP="00CB1E82">
      <w:pPr>
        <w:pStyle w:val="NormalWeb"/>
      </w:pPr>
      <w:r w:rsidRPr="00272A71">
        <w:t xml:space="preserve">In 1999, Germany brought the case before the International Court of Justice (ICJ), following the arrest and subsequent conviction of the LaGrand brothers in 1982. The two men were arrested after a bank robbery in Arizona that resulted in a fatality. Despite being foreign nationals, the LaGrands were not informed of their right to consular assistance, which is a crucial component of international law meant to protect the legal rights of foreign citizens in foreign legal systems. </w:t>
      </w:r>
    </w:p>
    <w:p w14:paraId="4DF14A68" w14:textId="77777777" w:rsidR="00CB1E82" w:rsidRPr="00272A71" w:rsidRDefault="00CB1E82" w:rsidP="00CB1E82">
      <w:pPr>
        <w:pStyle w:val="NormalWeb"/>
      </w:pPr>
      <w:r w:rsidRPr="00272A71">
        <w:lastRenderedPageBreak/>
        <w:t>Germany's position was based on the assertion that the United States' failure to inform the LaGrands of their right to contact the German consulate prevented them from receiving vital legal support and advice, which could have influenced the outcome of their trials. The consular assistance that Germany argued for was not only a right under the Vienna Convention but also an essential safeguard for ensuring fair legal proceedings and protecting individuals' legal rights in a foreign country.</w:t>
      </w:r>
    </w:p>
    <w:p w14:paraId="3CC06879" w14:textId="61BD2090" w:rsidR="00CB1E82" w:rsidRPr="00272A71" w:rsidRDefault="00CB1E82" w:rsidP="00CB1E82">
      <w:pPr>
        <w:pStyle w:val="NormalWeb"/>
      </w:pPr>
      <w:r w:rsidRPr="00272A71">
        <w:t>In contrast, the United States assert</w:t>
      </w:r>
      <w:r w:rsidRPr="00272A71">
        <w:t xml:space="preserve">s </w:t>
      </w:r>
      <w:r w:rsidRPr="00272A71">
        <w:t>that the LaGrands had been treated fairly under domestic law and that their convictions were not undermined by any consular violations. The U.S.’s viewpoint contends that the case should not fall under the jurisdiction of the ICJ, as it was an issue related to U.S. domestic legal procedures and not an international obligation. The</w:t>
      </w:r>
      <w:r w:rsidRPr="00272A71">
        <w:t xml:space="preserve">ir perspective showed </w:t>
      </w:r>
      <w:r w:rsidRPr="00272A71">
        <w:t>that such matters should be resolved within th</w:t>
      </w:r>
      <w:r w:rsidRPr="00272A71">
        <w:t>e</w:t>
      </w:r>
      <w:r w:rsidRPr="00272A71">
        <w:t xml:space="preserve"> domestic legal system rather than through international adjudication.</w:t>
      </w:r>
    </w:p>
    <w:p w14:paraId="5169200C" w14:textId="0F83B156" w:rsidR="00D16C06" w:rsidRPr="00272A71" w:rsidRDefault="00CB1E82" w:rsidP="00272A71">
      <w:pPr>
        <w:pStyle w:val="NormalWeb"/>
      </w:pPr>
      <w:r w:rsidRPr="00272A71">
        <w:t xml:space="preserve">The </w:t>
      </w:r>
      <w:r w:rsidRPr="00272A71">
        <w:rPr>
          <w:rStyle w:val="Emphasis"/>
          <w:rFonts w:eastAsiaTheme="majorEastAsia"/>
          <w:i w:val="0"/>
          <w:iCs w:val="0"/>
        </w:rPr>
        <w:t>LaGrand</w:t>
      </w:r>
      <w:r w:rsidRPr="00272A71">
        <w:t xml:space="preserve"> case is widely regarded as a critical moment in the development of international legal norms, particularly in terms of consular rights and accountability for breaches of international treaties. It reinforced the principle that states are obligated to uphold the legal rights of individuals, even when those individuals are foreign nationals, and that international courts play an essential role in upholding these obligations.</w:t>
      </w:r>
    </w:p>
    <w:p w14:paraId="294B04B4" w14:textId="1D6A3BC5" w:rsidR="00272A71" w:rsidRPr="00272A71" w:rsidRDefault="00272A71" w:rsidP="00272A71">
      <w:pPr>
        <w:pStyle w:val="NormalWeb"/>
      </w:pPr>
      <w:r w:rsidRPr="00272A71">
        <w:t xml:space="preserve">This year’s AssriyaMUN ’25 theme ‘Unmasking Lies’  adeptly aligns with the </w:t>
      </w:r>
      <w:r w:rsidRPr="00272A71">
        <w:rPr>
          <w:rStyle w:val="Emphasis"/>
          <w:rFonts w:eastAsiaTheme="majorEastAsia"/>
          <w:i w:val="0"/>
          <w:iCs w:val="0"/>
        </w:rPr>
        <w:t>LaGrand</w:t>
      </w:r>
      <w:r w:rsidRPr="00272A71">
        <w:t xml:space="preserve"> case, the issue of misinformation </w:t>
      </w:r>
      <w:r w:rsidRPr="00272A71">
        <w:t xml:space="preserve">is linked to </w:t>
      </w:r>
      <w:r w:rsidRPr="00272A71">
        <w:t>the failure to fully disclose important information regarding the LaGrand brothers' consular rights under the Vienna Convention. The absence of this information impacted their legal proceedings and, in turn, their access to justice. This situation highlights the broader issue of how the withholding of critical facts can affect legal outcomes and international relations. The case serves as a reminder of the importance of transparency and the role it plays in ensuring fairness and accountability in legal processes.</w:t>
      </w:r>
    </w:p>
    <w:p w14:paraId="281B6BD9" w14:textId="3E0023B7" w:rsidR="00FC4B4B" w:rsidRDefault="00FC4B4B"/>
    <w:p w14:paraId="7823489E" w14:textId="0BC92235" w:rsidR="00272A71" w:rsidRDefault="003F16CD">
      <w:pPr>
        <w:rPr>
          <w:b/>
          <w:bCs/>
        </w:rPr>
      </w:pPr>
      <w:r w:rsidRPr="003F16CD">
        <w:rPr>
          <w:b/>
          <w:bCs/>
        </w:rPr>
        <w:t>Definition of Key Terms:</w:t>
      </w:r>
    </w:p>
    <w:p w14:paraId="3F3BAB4C" w14:textId="77777777" w:rsidR="003F16CD" w:rsidRPr="003F16CD" w:rsidRDefault="003F16CD">
      <w:pPr>
        <w:rPr>
          <w:b/>
          <w:bCs/>
        </w:rPr>
      </w:pPr>
    </w:p>
    <w:p w14:paraId="44A91D59" w14:textId="7537BBE4" w:rsidR="00FC4B4B" w:rsidRDefault="003F16CD" w:rsidP="003F16CD">
      <w:r w:rsidRPr="003F16CD">
        <w:rPr>
          <w:b/>
          <w:bCs/>
        </w:rPr>
        <w:t>International Court of Justice (ICJ):</w:t>
      </w:r>
      <w:r w:rsidRPr="003F16CD">
        <w:t xml:space="preserve"> The principal judicial body of the United Nations, which settles legal disputes between states and gives advisory opinions on international legal questions.</w:t>
      </w:r>
    </w:p>
    <w:p w14:paraId="5BA20F44" w14:textId="77777777" w:rsidR="003F16CD" w:rsidRPr="00272A71" w:rsidRDefault="003F16CD" w:rsidP="003F16CD"/>
    <w:p w14:paraId="5E038B97" w14:textId="76301FF2" w:rsidR="003F16CD" w:rsidRDefault="003F16CD" w:rsidP="003F16CD">
      <w:r w:rsidRPr="003F16CD">
        <w:rPr>
          <w:b/>
          <w:bCs/>
        </w:rPr>
        <w:t>Vienna Convention on Consular Relations (VCCR):</w:t>
      </w:r>
      <w:r w:rsidRPr="003F16CD">
        <w:t xml:space="preserve"> An international treaty established in 1963 that outlines the rights and responsibilities of consular officers and their host countries. It includes provisions ensuring that foreign nationals are informed of their right to consular assistance when arrested or detained.</w:t>
      </w:r>
    </w:p>
    <w:p w14:paraId="1BFE2630" w14:textId="77777777" w:rsidR="003F16CD" w:rsidRPr="003F16CD" w:rsidRDefault="003F16CD" w:rsidP="003F16CD"/>
    <w:p w14:paraId="1F9F5899" w14:textId="77777777" w:rsidR="003F16CD" w:rsidRDefault="003F16CD" w:rsidP="003F16CD">
      <w:r w:rsidRPr="003F16CD">
        <w:rPr>
          <w:b/>
          <w:bCs/>
        </w:rPr>
        <w:t>Consular Assistance:</w:t>
      </w:r>
      <w:r w:rsidRPr="003F16CD">
        <w:t xml:space="preserve"> Legal and diplomatic support provided by a consulate to its nationals who are arrested, detained, or facing legal issues in a foreign country. This includes the right to be informed of this assistance and to communicate with consular representatives.</w:t>
      </w:r>
    </w:p>
    <w:p w14:paraId="271653C1" w14:textId="77777777" w:rsidR="003F16CD" w:rsidRDefault="003F16CD" w:rsidP="003F16CD"/>
    <w:p w14:paraId="58833391" w14:textId="3F16B275" w:rsidR="003F16CD" w:rsidRPr="003F16CD" w:rsidRDefault="003F16CD" w:rsidP="003F16CD">
      <w:r w:rsidRPr="003F16CD">
        <w:rPr>
          <w:b/>
          <w:bCs/>
        </w:rPr>
        <w:t>Sovereignty:</w:t>
      </w:r>
      <w:r w:rsidRPr="003F16CD">
        <w:t xml:space="preserve"> The authority of a state to govern itself without interference from outside forces. In the context of international law, sovereignty refers to a state's ability to make decisions about its domestic legal processes.</w:t>
      </w:r>
    </w:p>
    <w:p w14:paraId="0191A5C9" w14:textId="64C91A47" w:rsidR="003F16CD" w:rsidRDefault="003F16CD" w:rsidP="003F16CD">
      <w:r w:rsidRPr="003F16CD">
        <w:rPr>
          <w:b/>
          <w:bCs/>
        </w:rPr>
        <w:lastRenderedPageBreak/>
        <w:t>International Law:</w:t>
      </w:r>
      <w:r w:rsidRPr="003F16CD">
        <w:t xml:space="preserve"> A body of rules and principles that govern relations between states and other international actors. It includes treaties, conventions, and customary practices that states are expected to follow.</w:t>
      </w:r>
    </w:p>
    <w:p w14:paraId="42B27D9C" w14:textId="77777777" w:rsidR="003F16CD" w:rsidRPr="003F16CD" w:rsidRDefault="003F16CD" w:rsidP="003F16CD"/>
    <w:p w14:paraId="4B91B51C" w14:textId="77777777" w:rsidR="003F16CD" w:rsidRPr="003F16CD" w:rsidRDefault="003F16CD" w:rsidP="003F16CD">
      <w:r w:rsidRPr="003F16CD">
        <w:rPr>
          <w:b/>
          <w:bCs/>
        </w:rPr>
        <w:t>Miscarriage of Justice:</w:t>
      </w:r>
      <w:r w:rsidRPr="003F16CD">
        <w:t xml:space="preserve"> A legal term referring to situations in which a legal process leads to an incorrect or unfair outcome, often due to errors in procedure, misinterpretation of the law, or withholding of critical information.</w:t>
      </w:r>
    </w:p>
    <w:p w14:paraId="0B402034" w14:textId="4A42F4F6" w:rsidR="003F16CD" w:rsidRDefault="003F16CD" w:rsidP="003F16CD">
      <w:pPr>
        <w:pStyle w:val="NormalWeb"/>
      </w:pPr>
      <w:r w:rsidRPr="003F16CD">
        <w:rPr>
          <w:rFonts w:hAnsi="Symbol"/>
          <w:b/>
          <w:bCs/>
        </w:rPr>
        <w:t>J</w:t>
      </w:r>
      <w:r w:rsidRPr="003F16CD">
        <w:rPr>
          <w:rStyle w:val="Strong"/>
          <w:rFonts w:eastAsiaTheme="majorEastAsia"/>
        </w:rPr>
        <w:t>urisdiction</w:t>
      </w:r>
      <w:r w:rsidRPr="003F16CD">
        <w:rPr>
          <w:b/>
          <w:bCs/>
        </w:rPr>
        <w:t>:</w:t>
      </w:r>
      <w:r>
        <w:t xml:space="preserve"> The authority of a court to hear and decide legal matters. In the case of the ICJ, jurisdiction refers to its ability to hear disputes between states concerning international law.</w:t>
      </w:r>
    </w:p>
    <w:p w14:paraId="2FDDC9A4" w14:textId="48624BCD" w:rsidR="003F16CD" w:rsidRDefault="003F16CD" w:rsidP="003F16CD"/>
    <w:p w14:paraId="26D2FE13" w14:textId="271C7E2D" w:rsidR="00B22D34" w:rsidRPr="00EF42E5" w:rsidRDefault="00EF42E5" w:rsidP="00EF42E5">
      <w:pPr>
        <w:rPr>
          <w:b/>
          <w:bCs/>
        </w:rPr>
      </w:pPr>
      <w:r w:rsidRPr="00EF42E5">
        <w:rPr>
          <w:b/>
          <w:bCs/>
        </w:rPr>
        <w:t>Major parties involved:</w:t>
      </w:r>
    </w:p>
    <w:p w14:paraId="1E831DD7" w14:textId="77777777" w:rsidR="00EF42E5" w:rsidRDefault="00EF42E5" w:rsidP="00EF42E5"/>
    <w:p w14:paraId="72E128C8" w14:textId="06933D45" w:rsidR="004B711B" w:rsidRDefault="004B711B" w:rsidP="00D13031">
      <w:r>
        <w:rPr>
          <w:rStyle w:val="Strong"/>
          <w:rFonts w:eastAsiaTheme="majorEastAsia"/>
        </w:rPr>
        <w:t>The Federal Republic of Germany</w:t>
      </w:r>
      <w:r>
        <w:br/>
      </w:r>
      <w:r w:rsidR="00D13031">
        <w:t xml:space="preserve">Located in Central Europe, the Federal Republic of Germany is a major economic and political force in the globe. There are about 84 million people living there, and it borders nine European nations. On March 2, 1999, Germany, the applicant in this case, filed a complaint against the United States at the International Court of Justice (ICJ). </w:t>
      </w:r>
    </w:p>
    <w:p w14:paraId="149E08DF" w14:textId="77777777" w:rsidR="00EF42E5" w:rsidRDefault="00EF42E5" w:rsidP="00EF42E5"/>
    <w:p w14:paraId="73C530E6" w14:textId="6F349CA0" w:rsidR="004B711B" w:rsidRPr="004B711B" w:rsidRDefault="004B711B" w:rsidP="004B711B">
      <w:r w:rsidRPr="004B711B">
        <w:rPr>
          <w:b/>
          <w:bCs/>
        </w:rPr>
        <w:t>The United States of America</w:t>
      </w:r>
      <w:r>
        <w:br/>
        <w:t xml:space="preserve">The United States of America, a federal republic in North America, is one of the most influential nations globally, with a population exceeding 330 million. </w:t>
      </w:r>
      <w:r>
        <w:t>It shares borders with</w:t>
      </w:r>
      <w:r>
        <w:t xml:space="preserve"> Canada, Mexico, and both the Atlantic and Pacific Oceans. The United States is the respondent in this case, defending its actions concerning the arrest, trial, and execution of Karl and Walter LaGrand.</w:t>
      </w:r>
    </w:p>
    <w:p w14:paraId="1F7D625C" w14:textId="77777777" w:rsidR="004B711B" w:rsidRPr="004B711B" w:rsidRDefault="004B711B" w:rsidP="00EF42E5">
      <w:pPr>
        <w:rPr>
          <w:b/>
          <w:bCs/>
        </w:rPr>
      </w:pPr>
    </w:p>
    <w:p w14:paraId="06C62AB8" w14:textId="7512DEA7" w:rsidR="00B22D34" w:rsidRDefault="00B22D34" w:rsidP="003F16CD">
      <w:pPr>
        <w:rPr>
          <w:b/>
          <w:bCs/>
        </w:rPr>
      </w:pPr>
      <w:r w:rsidRPr="00B22D34">
        <w:rPr>
          <w:b/>
          <w:bCs/>
        </w:rPr>
        <w:t>Timeline of events</w:t>
      </w:r>
      <w:r>
        <w:rPr>
          <w:b/>
          <w:bCs/>
        </w:rPr>
        <w:t>:</w:t>
      </w:r>
    </w:p>
    <w:p w14:paraId="15DB5851" w14:textId="77777777" w:rsidR="00B22D34" w:rsidRPr="00B22D34" w:rsidRDefault="00B22D34" w:rsidP="003F16CD">
      <w:pPr>
        <w:rPr>
          <w:b/>
          <w:bCs/>
        </w:rPr>
      </w:pPr>
    </w:p>
    <w:p w14:paraId="665CAC3D" w14:textId="53F90725" w:rsidR="00B22D34" w:rsidRPr="003F16CD" w:rsidRDefault="00B22D34" w:rsidP="00B22D34">
      <w:r>
        <w:rPr>
          <w:rStyle w:val="Strong"/>
          <w:rFonts w:eastAsiaTheme="majorEastAsia"/>
        </w:rPr>
        <w:t>April 24, 1963</w:t>
      </w:r>
      <w:r>
        <w:t>: The Vienna Convention on Consular Relations was adopted during a conference held in Vienna, Austria. This treaty established the framework for consular relations between independent states, including the rights of foreign nationals to communicate with and seek assistance from their consulate when arrested or detained.</w:t>
      </w:r>
    </w:p>
    <w:p w14:paraId="3F3D83C2" w14:textId="77777777" w:rsidR="00FC4B4B" w:rsidRPr="00272A71" w:rsidRDefault="00FC4B4B"/>
    <w:p w14:paraId="7E5363A2" w14:textId="6320FD44" w:rsidR="00FC4B4B" w:rsidRDefault="00B22D34">
      <w:r>
        <w:rPr>
          <w:rStyle w:val="Strong"/>
          <w:rFonts w:eastAsiaTheme="majorEastAsia"/>
        </w:rPr>
        <w:t>December 24, 1969</w:t>
      </w:r>
      <w:r>
        <w:t>: The United States ratified the Vienna Convention on Consular Relations, making the treaty legally binding within its jurisdiction. This ratification committed the U.S. to ensuring consular access for foreign nationals detained on its soil</w:t>
      </w:r>
      <w:r>
        <w:t>.</w:t>
      </w:r>
    </w:p>
    <w:p w14:paraId="2FCBB0EE" w14:textId="77777777" w:rsidR="00B22D34" w:rsidRDefault="00B22D34"/>
    <w:p w14:paraId="75593C74" w14:textId="7B712E0A" w:rsidR="00080859" w:rsidRDefault="00B22D34" w:rsidP="00080859">
      <w:r>
        <w:rPr>
          <w:rStyle w:val="Strong"/>
          <w:rFonts w:eastAsiaTheme="majorEastAsia"/>
        </w:rPr>
        <w:t>January 1982</w:t>
      </w:r>
      <w:r>
        <w:t>: Karl and Walter LaGrand, German nationals, were arrested in Arizona following a botched armed robbery of the Valley National Bank in Marana, Arizona</w:t>
      </w:r>
      <w:r>
        <w:t xml:space="preserve"> which resulted in the death of a bystander</w:t>
      </w:r>
      <w:r>
        <w:t>.</w:t>
      </w:r>
      <w:r>
        <w:t xml:space="preserve"> </w:t>
      </w:r>
    </w:p>
    <w:p w14:paraId="5A6C45E1" w14:textId="77777777" w:rsidR="00B22D34" w:rsidRDefault="00B22D34"/>
    <w:p w14:paraId="2ED9F37C" w14:textId="777FD2EF" w:rsidR="00B22D34" w:rsidRDefault="00B22D34">
      <w:r>
        <w:rPr>
          <w:rStyle w:val="Strong"/>
          <w:rFonts w:eastAsiaTheme="majorEastAsia"/>
        </w:rPr>
        <w:t>February 17, 1984</w:t>
      </w:r>
      <w:r>
        <w:t>: The LaGrand brothers were convicted by a jury of first-degree murder and other felonies related to the bank robbery.</w:t>
      </w:r>
    </w:p>
    <w:p w14:paraId="51526DB9" w14:textId="77777777" w:rsidR="00B22D34" w:rsidRDefault="00B22D34"/>
    <w:p w14:paraId="09B6ED08" w14:textId="4C9F8125" w:rsidR="00B22D34" w:rsidRDefault="006C33A9">
      <w:r w:rsidRPr="006C33A9">
        <w:rPr>
          <w:b/>
          <w:bCs/>
        </w:rPr>
        <w:t>December 14, 1984:</w:t>
      </w:r>
      <w:r>
        <w:rPr>
          <w:b/>
          <w:bCs/>
        </w:rPr>
        <w:t xml:space="preserve"> </w:t>
      </w:r>
      <w:r>
        <w:t>The LaGrand brothers</w:t>
      </w:r>
      <w:r>
        <w:t xml:space="preserve"> were sentenced to death.</w:t>
      </w:r>
    </w:p>
    <w:p w14:paraId="68917FAD" w14:textId="77777777" w:rsidR="00EF42E5" w:rsidRDefault="00EF42E5"/>
    <w:p w14:paraId="0263F6CD" w14:textId="3CDEC4C7" w:rsidR="00EF42E5" w:rsidRPr="00EF42E5" w:rsidRDefault="00EF42E5">
      <w:r w:rsidRPr="00EF42E5">
        <w:rPr>
          <w:b/>
          <w:bCs/>
        </w:rPr>
        <w:t>February 24, 1999:</w:t>
      </w:r>
      <w:r>
        <w:rPr>
          <w:b/>
          <w:bCs/>
        </w:rPr>
        <w:t xml:space="preserve"> </w:t>
      </w:r>
      <w:r w:rsidRPr="00EF42E5">
        <w:t xml:space="preserve">Karl Lagrand was executed </w:t>
      </w:r>
      <w:r>
        <w:t>by lethal injection</w:t>
      </w:r>
    </w:p>
    <w:p w14:paraId="6578DE83" w14:textId="77777777" w:rsidR="006C33A9" w:rsidRPr="006C33A9" w:rsidRDefault="006C33A9">
      <w:pPr>
        <w:rPr>
          <w:b/>
          <w:bCs/>
        </w:rPr>
      </w:pPr>
    </w:p>
    <w:p w14:paraId="2291FFAD" w14:textId="72B975A6" w:rsidR="00B22D34" w:rsidRDefault="00B22D34">
      <w:r>
        <w:rPr>
          <w:rStyle w:val="Strong"/>
          <w:rFonts w:eastAsiaTheme="majorEastAsia"/>
        </w:rPr>
        <w:t>March 2, 1999</w:t>
      </w:r>
      <w:r>
        <w:t>: Germany filed an application with the International Court of Justice, asserting that the U.S. had violated the VCCR by not informing the LaGrand brothers of their consular rights.</w:t>
      </w:r>
    </w:p>
    <w:p w14:paraId="22C9B120" w14:textId="77777777" w:rsidR="00B22D34" w:rsidRDefault="00B22D34"/>
    <w:p w14:paraId="53A76C94" w14:textId="5D900B9A" w:rsidR="00B22D34" w:rsidRDefault="00B22D34">
      <w:r>
        <w:rPr>
          <w:rStyle w:val="Strong"/>
          <w:rFonts w:eastAsiaTheme="majorEastAsia"/>
        </w:rPr>
        <w:t>March 3, 1999</w:t>
      </w:r>
      <w:r>
        <w:t xml:space="preserve">: Despite </w:t>
      </w:r>
      <w:r w:rsidR="00D13031">
        <w:t>the provisional measures issued by the ICJ</w:t>
      </w:r>
      <w:r w:rsidR="00D13031">
        <w:t xml:space="preserve"> and </w:t>
      </w:r>
      <w:r>
        <w:t xml:space="preserve">Germany's legal intervention, Walter LaGrand was executed by </w:t>
      </w:r>
      <w:r w:rsidR="00EF42E5">
        <w:t>cyanide gas</w:t>
      </w:r>
      <w:r>
        <w:t xml:space="preserve"> in Arizona.</w:t>
      </w:r>
    </w:p>
    <w:p w14:paraId="055E3F96" w14:textId="77777777" w:rsidR="00B22D34" w:rsidRDefault="00B22D34"/>
    <w:p w14:paraId="7AB13CB4" w14:textId="77777777" w:rsidR="00B22D34" w:rsidRDefault="00B22D34"/>
    <w:p w14:paraId="303CAB7D" w14:textId="77777777" w:rsidR="00EF42E5" w:rsidRDefault="00EF42E5"/>
    <w:p w14:paraId="6005812B" w14:textId="77777777" w:rsidR="00EF42E5" w:rsidRDefault="00EF42E5"/>
    <w:p w14:paraId="040B2EF0" w14:textId="77777777" w:rsidR="00EF42E5" w:rsidRPr="00272A71" w:rsidRDefault="00EF42E5"/>
    <w:p w14:paraId="1A0D0F5B" w14:textId="72D408D8" w:rsidR="00FC4B4B" w:rsidRPr="00EF42E5" w:rsidRDefault="00EF42E5">
      <w:pPr>
        <w:rPr>
          <w:b/>
          <w:bCs/>
        </w:rPr>
      </w:pPr>
      <w:r w:rsidRPr="00EF42E5">
        <w:rPr>
          <w:b/>
          <w:bCs/>
        </w:rPr>
        <w:t>References:</w:t>
      </w:r>
    </w:p>
    <w:p w14:paraId="5E742333" w14:textId="77777777" w:rsidR="00EF42E5" w:rsidRPr="00272A71" w:rsidRDefault="00EF42E5"/>
    <w:p w14:paraId="36CDD2CF" w14:textId="3C1455E0" w:rsidR="00272A71" w:rsidRDefault="00272A71" w:rsidP="00EF42E5">
      <w:hyperlink r:id="rId5" w:history="1">
        <w:r w:rsidRPr="00120FC9">
          <w:rPr>
            <w:rStyle w:val="Hyperlink"/>
          </w:rPr>
          <w:t>https://www8.austlii.edu.au/cgi-bin/viewdoc/au/journals/MelbJIL/2002/6.html</w:t>
        </w:r>
      </w:hyperlink>
    </w:p>
    <w:p w14:paraId="019D396F" w14:textId="77777777" w:rsidR="00EF42E5" w:rsidRPr="00272A71" w:rsidRDefault="00EF42E5" w:rsidP="00EF42E5"/>
    <w:p w14:paraId="0680F06C" w14:textId="333435A0" w:rsidR="00FC4B4B" w:rsidRDefault="00FC4B4B">
      <w:hyperlink r:id="rId6" w:history="1">
        <w:r w:rsidRPr="00272A71">
          <w:rPr>
            <w:rStyle w:val="Hyperlink"/>
          </w:rPr>
          <w:t>https://www.icj-cij.org/case/104</w:t>
        </w:r>
      </w:hyperlink>
    </w:p>
    <w:p w14:paraId="2F25FE91" w14:textId="77777777" w:rsidR="00EF42E5" w:rsidRPr="00272A71" w:rsidRDefault="00EF42E5"/>
    <w:p w14:paraId="43679D65" w14:textId="7E7D1DB9" w:rsidR="00FC4B4B" w:rsidRDefault="003F16CD">
      <w:hyperlink r:id="rId7" w:history="1">
        <w:r w:rsidRPr="00120FC9">
          <w:rPr>
            <w:rStyle w:val="Hyperlink"/>
          </w:rPr>
          <w:t>https://legal.un.org/ilc/texts/instruments/english/conventions/9_2_1963.pdf</w:t>
        </w:r>
      </w:hyperlink>
    </w:p>
    <w:p w14:paraId="2C0FBB0B" w14:textId="77777777" w:rsidR="00EF42E5" w:rsidRDefault="00EF42E5"/>
    <w:p w14:paraId="76FBA744" w14:textId="78AAE045" w:rsidR="003F16CD" w:rsidRDefault="003F16CD">
      <w:hyperlink r:id="rId8" w:history="1">
        <w:r w:rsidRPr="00120FC9">
          <w:rPr>
            <w:rStyle w:val="Hyperlink"/>
          </w:rPr>
          <w:t>https://legal.un.org/avl/ha/vccr/vccr.html</w:t>
        </w:r>
      </w:hyperlink>
    </w:p>
    <w:p w14:paraId="50BC7906" w14:textId="77777777" w:rsidR="00EF42E5" w:rsidRDefault="00EF42E5"/>
    <w:p w14:paraId="12D28714" w14:textId="15FE5924" w:rsidR="003F16CD" w:rsidRDefault="00EF42E5">
      <w:hyperlink r:id="rId9" w:history="1">
        <w:r w:rsidRPr="00120FC9">
          <w:rPr>
            <w:rStyle w:val="Hyperlink"/>
          </w:rPr>
          <w:t>https://www.oyez.org/cases/1998/98-1412</w:t>
        </w:r>
      </w:hyperlink>
    </w:p>
    <w:p w14:paraId="1A3E18DA" w14:textId="77777777" w:rsidR="00EF42E5" w:rsidRPr="00272A71" w:rsidRDefault="00EF42E5"/>
    <w:sectPr w:rsidR="00EF42E5" w:rsidRPr="00272A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5AC"/>
    <w:multiLevelType w:val="multilevel"/>
    <w:tmpl w:val="4FC0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35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AD"/>
    <w:rsid w:val="00044EC1"/>
    <w:rsid w:val="00080859"/>
    <w:rsid w:val="001C6C10"/>
    <w:rsid w:val="00265BE5"/>
    <w:rsid w:val="00272A71"/>
    <w:rsid w:val="003055AD"/>
    <w:rsid w:val="003F16CD"/>
    <w:rsid w:val="004B711B"/>
    <w:rsid w:val="004C0C58"/>
    <w:rsid w:val="006C33A9"/>
    <w:rsid w:val="00876F37"/>
    <w:rsid w:val="00B22D34"/>
    <w:rsid w:val="00CB1E82"/>
    <w:rsid w:val="00D13031"/>
    <w:rsid w:val="00D130E7"/>
    <w:rsid w:val="00D16C06"/>
    <w:rsid w:val="00EF42E5"/>
    <w:rsid w:val="00FC4B4B"/>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0A3105E7"/>
  <w15:chartTrackingRefBased/>
  <w15:docId w15:val="{8DB58E44-1E39-CD45-9957-822C63D5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J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6C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055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55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55A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3055A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055A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055A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055A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055A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055A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05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5AD"/>
    <w:rPr>
      <w:rFonts w:eastAsiaTheme="majorEastAsia" w:cstheme="majorBidi"/>
      <w:color w:val="272727" w:themeColor="text1" w:themeTint="D8"/>
    </w:rPr>
  </w:style>
  <w:style w:type="paragraph" w:styleId="Title">
    <w:name w:val="Title"/>
    <w:basedOn w:val="Normal"/>
    <w:next w:val="Normal"/>
    <w:link w:val="TitleChar"/>
    <w:uiPriority w:val="10"/>
    <w:qFormat/>
    <w:rsid w:val="003055A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5A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5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5A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055AD"/>
    <w:rPr>
      <w:i/>
      <w:iCs/>
      <w:color w:val="404040" w:themeColor="text1" w:themeTint="BF"/>
    </w:rPr>
  </w:style>
  <w:style w:type="paragraph" w:styleId="ListParagraph">
    <w:name w:val="List Paragraph"/>
    <w:basedOn w:val="Normal"/>
    <w:uiPriority w:val="34"/>
    <w:qFormat/>
    <w:rsid w:val="003055A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055AD"/>
    <w:rPr>
      <w:i/>
      <w:iCs/>
      <w:color w:val="0F4761" w:themeColor="accent1" w:themeShade="BF"/>
    </w:rPr>
  </w:style>
  <w:style w:type="paragraph" w:styleId="IntenseQuote">
    <w:name w:val="Intense Quote"/>
    <w:basedOn w:val="Normal"/>
    <w:next w:val="Normal"/>
    <w:link w:val="IntenseQuoteChar"/>
    <w:uiPriority w:val="30"/>
    <w:qFormat/>
    <w:rsid w:val="003055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055AD"/>
    <w:rPr>
      <w:i/>
      <w:iCs/>
      <w:color w:val="0F4761" w:themeColor="accent1" w:themeShade="BF"/>
    </w:rPr>
  </w:style>
  <w:style w:type="character" w:styleId="IntenseReference">
    <w:name w:val="Intense Reference"/>
    <w:basedOn w:val="DefaultParagraphFont"/>
    <w:uiPriority w:val="32"/>
    <w:qFormat/>
    <w:rsid w:val="003055AD"/>
    <w:rPr>
      <w:b/>
      <w:bCs/>
      <w:smallCaps/>
      <w:color w:val="0F4761" w:themeColor="accent1" w:themeShade="BF"/>
      <w:spacing w:val="5"/>
    </w:rPr>
  </w:style>
  <w:style w:type="paragraph" w:styleId="NormalWeb">
    <w:name w:val="Normal (Web)"/>
    <w:basedOn w:val="Normal"/>
    <w:uiPriority w:val="99"/>
    <w:unhideWhenUsed/>
    <w:rsid w:val="004C0C58"/>
    <w:pPr>
      <w:spacing w:before="100" w:beforeAutospacing="1" w:after="100" w:afterAutospacing="1"/>
    </w:pPr>
  </w:style>
  <w:style w:type="character" w:styleId="Hyperlink">
    <w:name w:val="Hyperlink"/>
    <w:basedOn w:val="DefaultParagraphFont"/>
    <w:uiPriority w:val="99"/>
    <w:unhideWhenUsed/>
    <w:rsid w:val="00FC4B4B"/>
    <w:rPr>
      <w:color w:val="467886" w:themeColor="hyperlink"/>
      <w:u w:val="single"/>
    </w:rPr>
  </w:style>
  <w:style w:type="character" w:styleId="UnresolvedMention">
    <w:name w:val="Unresolved Mention"/>
    <w:basedOn w:val="DefaultParagraphFont"/>
    <w:uiPriority w:val="99"/>
    <w:semiHidden/>
    <w:unhideWhenUsed/>
    <w:rsid w:val="00FC4B4B"/>
    <w:rPr>
      <w:color w:val="605E5C"/>
      <w:shd w:val="clear" w:color="auto" w:fill="E1DFDD"/>
    </w:rPr>
  </w:style>
  <w:style w:type="character" w:styleId="Strong">
    <w:name w:val="Strong"/>
    <w:basedOn w:val="DefaultParagraphFont"/>
    <w:uiPriority w:val="22"/>
    <w:qFormat/>
    <w:rsid w:val="00876F37"/>
    <w:rPr>
      <w:b/>
      <w:bCs/>
    </w:rPr>
  </w:style>
  <w:style w:type="character" w:styleId="Emphasis">
    <w:name w:val="Emphasis"/>
    <w:basedOn w:val="DefaultParagraphFont"/>
    <w:uiPriority w:val="20"/>
    <w:qFormat/>
    <w:rsid w:val="00876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2698">
      <w:bodyDiv w:val="1"/>
      <w:marLeft w:val="0"/>
      <w:marRight w:val="0"/>
      <w:marTop w:val="0"/>
      <w:marBottom w:val="0"/>
      <w:divBdr>
        <w:top w:val="none" w:sz="0" w:space="0" w:color="auto"/>
        <w:left w:val="none" w:sz="0" w:space="0" w:color="auto"/>
        <w:bottom w:val="none" w:sz="0" w:space="0" w:color="auto"/>
        <w:right w:val="none" w:sz="0" w:space="0" w:color="auto"/>
      </w:divBdr>
    </w:div>
    <w:div w:id="290063301">
      <w:bodyDiv w:val="1"/>
      <w:marLeft w:val="0"/>
      <w:marRight w:val="0"/>
      <w:marTop w:val="0"/>
      <w:marBottom w:val="0"/>
      <w:divBdr>
        <w:top w:val="none" w:sz="0" w:space="0" w:color="auto"/>
        <w:left w:val="none" w:sz="0" w:space="0" w:color="auto"/>
        <w:bottom w:val="none" w:sz="0" w:space="0" w:color="auto"/>
        <w:right w:val="none" w:sz="0" w:space="0" w:color="auto"/>
      </w:divBdr>
    </w:div>
    <w:div w:id="387152767">
      <w:bodyDiv w:val="1"/>
      <w:marLeft w:val="0"/>
      <w:marRight w:val="0"/>
      <w:marTop w:val="0"/>
      <w:marBottom w:val="0"/>
      <w:divBdr>
        <w:top w:val="none" w:sz="0" w:space="0" w:color="auto"/>
        <w:left w:val="none" w:sz="0" w:space="0" w:color="auto"/>
        <w:bottom w:val="none" w:sz="0" w:space="0" w:color="auto"/>
        <w:right w:val="none" w:sz="0" w:space="0" w:color="auto"/>
      </w:divBdr>
    </w:div>
    <w:div w:id="467867023">
      <w:bodyDiv w:val="1"/>
      <w:marLeft w:val="0"/>
      <w:marRight w:val="0"/>
      <w:marTop w:val="0"/>
      <w:marBottom w:val="0"/>
      <w:divBdr>
        <w:top w:val="none" w:sz="0" w:space="0" w:color="auto"/>
        <w:left w:val="none" w:sz="0" w:space="0" w:color="auto"/>
        <w:bottom w:val="none" w:sz="0" w:space="0" w:color="auto"/>
        <w:right w:val="none" w:sz="0" w:space="0" w:color="auto"/>
      </w:divBdr>
    </w:div>
    <w:div w:id="617760770">
      <w:bodyDiv w:val="1"/>
      <w:marLeft w:val="0"/>
      <w:marRight w:val="0"/>
      <w:marTop w:val="0"/>
      <w:marBottom w:val="0"/>
      <w:divBdr>
        <w:top w:val="none" w:sz="0" w:space="0" w:color="auto"/>
        <w:left w:val="none" w:sz="0" w:space="0" w:color="auto"/>
        <w:bottom w:val="none" w:sz="0" w:space="0" w:color="auto"/>
        <w:right w:val="none" w:sz="0" w:space="0" w:color="auto"/>
      </w:divBdr>
    </w:div>
    <w:div w:id="728192386">
      <w:bodyDiv w:val="1"/>
      <w:marLeft w:val="0"/>
      <w:marRight w:val="0"/>
      <w:marTop w:val="0"/>
      <w:marBottom w:val="0"/>
      <w:divBdr>
        <w:top w:val="none" w:sz="0" w:space="0" w:color="auto"/>
        <w:left w:val="none" w:sz="0" w:space="0" w:color="auto"/>
        <w:bottom w:val="none" w:sz="0" w:space="0" w:color="auto"/>
        <w:right w:val="none" w:sz="0" w:space="0" w:color="auto"/>
      </w:divBdr>
    </w:div>
    <w:div w:id="762917842">
      <w:bodyDiv w:val="1"/>
      <w:marLeft w:val="0"/>
      <w:marRight w:val="0"/>
      <w:marTop w:val="0"/>
      <w:marBottom w:val="0"/>
      <w:divBdr>
        <w:top w:val="none" w:sz="0" w:space="0" w:color="auto"/>
        <w:left w:val="none" w:sz="0" w:space="0" w:color="auto"/>
        <w:bottom w:val="none" w:sz="0" w:space="0" w:color="auto"/>
        <w:right w:val="none" w:sz="0" w:space="0" w:color="auto"/>
      </w:divBdr>
    </w:div>
    <w:div w:id="943464481">
      <w:bodyDiv w:val="1"/>
      <w:marLeft w:val="0"/>
      <w:marRight w:val="0"/>
      <w:marTop w:val="0"/>
      <w:marBottom w:val="0"/>
      <w:divBdr>
        <w:top w:val="none" w:sz="0" w:space="0" w:color="auto"/>
        <w:left w:val="none" w:sz="0" w:space="0" w:color="auto"/>
        <w:bottom w:val="none" w:sz="0" w:space="0" w:color="auto"/>
        <w:right w:val="none" w:sz="0" w:space="0" w:color="auto"/>
      </w:divBdr>
      <w:divsChild>
        <w:div w:id="1975673267">
          <w:marLeft w:val="0"/>
          <w:marRight w:val="0"/>
          <w:marTop w:val="0"/>
          <w:marBottom w:val="0"/>
          <w:divBdr>
            <w:top w:val="none" w:sz="0" w:space="0" w:color="auto"/>
            <w:left w:val="none" w:sz="0" w:space="0" w:color="auto"/>
            <w:bottom w:val="none" w:sz="0" w:space="0" w:color="auto"/>
            <w:right w:val="none" w:sz="0" w:space="0" w:color="auto"/>
          </w:divBdr>
          <w:divsChild>
            <w:div w:id="975375521">
              <w:marLeft w:val="0"/>
              <w:marRight w:val="0"/>
              <w:marTop w:val="0"/>
              <w:marBottom w:val="0"/>
              <w:divBdr>
                <w:top w:val="none" w:sz="0" w:space="0" w:color="auto"/>
                <w:left w:val="none" w:sz="0" w:space="0" w:color="auto"/>
                <w:bottom w:val="none" w:sz="0" w:space="0" w:color="auto"/>
                <w:right w:val="none" w:sz="0" w:space="0" w:color="auto"/>
              </w:divBdr>
              <w:divsChild>
                <w:div w:id="376470965">
                  <w:marLeft w:val="0"/>
                  <w:marRight w:val="0"/>
                  <w:marTop w:val="0"/>
                  <w:marBottom w:val="0"/>
                  <w:divBdr>
                    <w:top w:val="none" w:sz="0" w:space="0" w:color="auto"/>
                    <w:left w:val="none" w:sz="0" w:space="0" w:color="auto"/>
                    <w:bottom w:val="none" w:sz="0" w:space="0" w:color="auto"/>
                    <w:right w:val="none" w:sz="0" w:space="0" w:color="auto"/>
                  </w:divBdr>
                  <w:divsChild>
                    <w:div w:id="180822492">
                      <w:marLeft w:val="0"/>
                      <w:marRight w:val="0"/>
                      <w:marTop w:val="0"/>
                      <w:marBottom w:val="0"/>
                      <w:divBdr>
                        <w:top w:val="none" w:sz="0" w:space="0" w:color="auto"/>
                        <w:left w:val="none" w:sz="0" w:space="0" w:color="auto"/>
                        <w:bottom w:val="none" w:sz="0" w:space="0" w:color="auto"/>
                        <w:right w:val="none" w:sz="0" w:space="0" w:color="auto"/>
                      </w:divBdr>
                      <w:divsChild>
                        <w:div w:id="2056344145">
                          <w:marLeft w:val="0"/>
                          <w:marRight w:val="0"/>
                          <w:marTop w:val="0"/>
                          <w:marBottom w:val="0"/>
                          <w:divBdr>
                            <w:top w:val="none" w:sz="0" w:space="0" w:color="auto"/>
                            <w:left w:val="none" w:sz="0" w:space="0" w:color="auto"/>
                            <w:bottom w:val="none" w:sz="0" w:space="0" w:color="auto"/>
                            <w:right w:val="none" w:sz="0" w:space="0" w:color="auto"/>
                          </w:divBdr>
                          <w:divsChild>
                            <w:div w:id="1638022498">
                              <w:marLeft w:val="0"/>
                              <w:marRight w:val="0"/>
                              <w:marTop w:val="0"/>
                              <w:marBottom w:val="0"/>
                              <w:divBdr>
                                <w:top w:val="none" w:sz="0" w:space="0" w:color="auto"/>
                                <w:left w:val="none" w:sz="0" w:space="0" w:color="auto"/>
                                <w:bottom w:val="none" w:sz="0" w:space="0" w:color="auto"/>
                                <w:right w:val="none" w:sz="0" w:space="0" w:color="auto"/>
                              </w:divBdr>
                              <w:divsChild>
                                <w:div w:id="1318418523">
                                  <w:marLeft w:val="0"/>
                                  <w:marRight w:val="0"/>
                                  <w:marTop w:val="0"/>
                                  <w:marBottom w:val="0"/>
                                  <w:divBdr>
                                    <w:top w:val="none" w:sz="0" w:space="0" w:color="auto"/>
                                    <w:left w:val="none" w:sz="0" w:space="0" w:color="auto"/>
                                    <w:bottom w:val="none" w:sz="0" w:space="0" w:color="auto"/>
                                    <w:right w:val="none" w:sz="0" w:space="0" w:color="auto"/>
                                  </w:divBdr>
                                  <w:divsChild>
                                    <w:div w:id="1507983989">
                                      <w:marLeft w:val="0"/>
                                      <w:marRight w:val="0"/>
                                      <w:marTop w:val="0"/>
                                      <w:marBottom w:val="0"/>
                                      <w:divBdr>
                                        <w:top w:val="none" w:sz="0" w:space="0" w:color="auto"/>
                                        <w:left w:val="none" w:sz="0" w:space="0" w:color="auto"/>
                                        <w:bottom w:val="none" w:sz="0" w:space="0" w:color="auto"/>
                                        <w:right w:val="none" w:sz="0" w:space="0" w:color="auto"/>
                                      </w:divBdr>
                                      <w:divsChild>
                                        <w:div w:id="1345280892">
                                          <w:marLeft w:val="0"/>
                                          <w:marRight w:val="0"/>
                                          <w:marTop w:val="0"/>
                                          <w:marBottom w:val="0"/>
                                          <w:divBdr>
                                            <w:top w:val="none" w:sz="0" w:space="0" w:color="auto"/>
                                            <w:left w:val="none" w:sz="0" w:space="0" w:color="auto"/>
                                            <w:bottom w:val="none" w:sz="0" w:space="0" w:color="auto"/>
                                            <w:right w:val="none" w:sz="0" w:space="0" w:color="auto"/>
                                          </w:divBdr>
                                          <w:divsChild>
                                            <w:div w:id="1119953391">
                                              <w:marLeft w:val="0"/>
                                              <w:marRight w:val="0"/>
                                              <w:marTop w:val="0"/>
                                              <w:marBottom w:val="0"/>
                                              <w:divBdr>
                                                <w:top w:val="none" w:sz="0" w:space="0" w:color="auto"/>
                                                <w:left w:val="none" w:sz="0" w:space="0" w:color="auto"/>
                                                <w:bottom w:val="none" w:sz="0" w:space="0" w:color="auto"/>
                                                <w:right w:val="none" w:sz="0" w:space="0" w:color="auto"/>
                                              </w:divBdr>
                                              <w:divsChild>
                                                <w:div w:id="2043167150">
                                                  <w:marLeft w:val="0"/>
                                                  <w:marRight w:val="0"/>
                                                  <w:marTop w:val="0"/>
                                                  <w:marBottom w:val="0"/>
                                                  <w:divBdr>
                                                    <w:top w:val="none" w:sz="0" w:space="0" w:color="auto"/>
                                                    <w:left w:val="none" w:sz="0" w:space="0" w:color="auto"/>
                                                    <w:bottom w:val="none" w:sz="0" w:space="0" w:color="auto"/>
                                                    <w:right w:val="none" w:sz="0" w:space="0" w:color="auto"/>
                                                  </w:divBdr>
                                                  <w:divsChild>
                                                    <w:div w:id="1316377545">
                                                      <w:marLeft w:val="0"/>
                                                      <w:marRight w:val="0"/>
                                                      <w:marTop w:val="0"/>
                                                      <w:marBottom w:val="0"/>
                                                      <w:divBdr>
                                                        <w:top w:val="none" w:sz="0" w:space="0" w:color="auto"/>
                                                        <w:left w:val="none" w:sz="0" w:space="0" w:color="auto"/>
                                                        <w:bottom w:val="none" w:sz="0" w:space="0" w:color="auto"/>
                                                        <w:right w:val="none" w:sz="0" w:space="0" w:color="auto"/>
                                                      </w:divBdr>
                                                      <w:divsChild>
                                                        <w:div w:id="16214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8822232">
      <w:bodyDiv w:val="1"/>
      <w:marLeft w:val="0"/>
      <w:marRight w:val="0"/>
      <w:marTop w:val="0"/>
      <w:marBottom w:val="0"/>
      <w:divBdr>
        <w:top w:val="none" w:sz="0" w:space="0" w:color="auto"/>
        <w:left w:val="none" w:sz="0" w:space="0" w:color="auto"/>
        <w:bottom w:val="none" w:sz="0" w:space="0" w:color="auto"/>
        <w:right w:val="none" w:sz="0" w:space="0" w:color="auto"/>
      </w:divBdr>
    </w:div>
    <w:div w:id="1180504984">
      <w:bodyDiv w:val="1"/>
      <w:marLeft w:val="0"/>
      <w:marRight w:val="0"/>
      <w:marTop w:val="0"/>
      <w:marBottom w:val="0"/>
      <w:divBdr>
        <w:top w:val="none" w:sz="0" w:space="0" w:color="auto"/>
        <w:left w:val="none" w:sz="0" w:space="0" w:color="auto"/>
        <w:bottom w:val="none" w:sz="0" w:space="0" w:color="auto"/>
        <w:right w:val="none" w:sz="0" w:space="0" w:color="auto"/>
      </w:divBdr>
    </w:div>
    <w:div w:id="1257445794">
      <w:bodyDiv w:val="1"/>
      <w:marLeft w:val="0"/>
      <w:marRight w:val="0"/>
      <w:marTop w:val="0"/>
      <w:marBottom w:val="0"/>
      <w:divBdr>
        <w:top w:val="none" w:sz="0" w:space="0" w:color="auto"/>
        <w:left w:val="none" w:sz="0" w:space="0" w:color="auto"/>
        <w:bottom w:val="none" w:sz="0" w:space="0" w:color="auto"/>
        <w:right w:val="none" w:sz="0" w:space="0" w:color="auto"/>
      </w:divBdr>
    </w:div>
    <w:div w:id="1415278905">
      <w:bodyDiv w:val="1"/>
      <w:marLeft w:val="0"/>
      <w:marRight w:val="0"/>
      <w:marTop w:val="0"/>
      <w:marBottom w:val="0"/>
      <w:divBdr>
        <w:top w:val="none" w:sz="0" w:space="0" w:color="auto"/>
        <w:left w:val="none" w:sz="0" w:space="0" w:color="auto"/>
        <w:bottom w:val="none" w:sz="0" w:space="0" w:color="auto"/>
        <w:right w:val="none" w:sz="0" w:space="0" w:color="auto"/>
      </w:divBdr>
      <w:divsChild>
        <w:div w:id="1928998604">
          <w:marLeft w:val="0"/>
          <w:marRight w:val="0"/>
          <w:marTop w:val="0"/>
          <w:marBottom w:val="0"/>
          <w:divBdr>
            <w:top w:val="none" w:sz="0" w:space="0" w:color="auto"/>
            <w:left w:val="none" w:sz="0" w:space="0" w:color="auto"/>
            <w:bottom w:val="none" w:sz="0" w:space="0" w:color="auto"/>
            <w:right w:val="none" w:sz="0" w:space="0" w:color="auto"/>
          </w:divBdr>
          <w:divsChild>
            <w:div w:id="151407351">
              <w:marLeft w:val="0"/>
              <w:marRight w:val="0"/>
              <w:marTop w:val="0"/>
              <w:marBottom w:val="0"/>
              <w:divBdr>
                <w:top w:val="none" w:sz="0" w:space="0" w:color="auto"/>
                <w:left w:val="none" w:sz="0" w:space="0" w:color="auto"/>
                <w:bottom w:val="none" w:sz="0" w:space="0" w:color="auto"/>
                <w:right w:val="none" w:sz="0" w:space="0" w:color="auto"/>
              </w:divBdr>
              <w:divsChild>
                <w:div w:id="197474054">
                  <w:marLeft w:val="0"/>
                  <w:marRight w:val="0"/>
                  <w:marTop w:val="0"/>
                  <w:marBottom w:val="0"/>
                  <w:divBdr>
                    <w:top w:val="none" w:sz="0" w:space="0" w:color="auto"/>
                    <w:left w:val="none" w:sz="0" w:space="0" w:color="auto"/>
                    <w:bottom w:val="none" w:sz="0" w:space="0" w:color="auto"/>
                    <w:right w:val="none" w:sz="0" w:space="0" w:color="auto"/>
                  </w:divBdr>
                  <w:divsChild>
                    <w:div w:id="10735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615">
      <w:bodyDiv w:val="1"/>
      <w:marLeft w:val="0"/>
      <w:marRight w:val="0"/>
      <w:marTop w:val="0"/>
      <w:marBottom w:val="0"/>
      <w:divBdr>
        <w:top w:val="none" w:sz="0" w:space="0" w:color="auto"/>
        <w:left w:val="none" w:sz="0" w:space="0" w:color="auto"/>
        <w:bottom w:val="none" w:sz="0" w:space="0" w:color="auto"/>
        <w:right w:val="none" w:sz="0" w:space="0" w:color="auto"/>
      </w:divBdr>
    </w:div>
    <w:div w:id="20864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un.org/avl/ha/vccr/vccr.html" TargetMode="External"/><Relationship Id="rId3" Type="http://schemas.openxmlformats.org/officeDocument/2006/relationships/settings" Target="settings.xml"/><Relationship Id="rId7" Type="http://schemas.openxmlformats.org/officeDocument/2006/relationships/hyperlink" Target="https://legal.un.org/ilc/texts/instruments/english/conventions/9_2_196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j-cij.org/case/104" TargetMode="External"/><Relationship Id="rId11" Type="http://schemas.openxmlformats.org/officeDocument/2006/relationships/theme" Target="theme/theme1.xml"/><Relationship Id="rId5" Type="http://schemas.openxmlformats.org/officeDocument/2006/relationships/hyperlink" Target="https://www8.austlii.edu.au/cgi-bin/viewdoc/au/journals/MelbJIL/2002/6.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yez.org/cases/1998/98-1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Alami</dc:creator>
  <cp:keywords/>
  <dc:description/>
  <cp:lastModifiedBy>Raya Alami</cp:lastModifiedBy>
  <cp:revision>1</cp:revision>
  <dcterms:created xsi:type="dcterms:W3CDTF">2025-01-24T10:09:00Z</dcterms:created>
  <dcterms:modified xsi:type="dcterms:W3CDTF">2025-01-24T16:47:00Z</dcterms:modified>
</cp:coreProperties>
</file>